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2015/308 vom 26. Oktober 2017</w:t>
      </w:r>
    </w:p>
    <w:p>
      <w:r>
        <w:t>Sg Verwaltungsgericht, 2017-10-26, DE</w:t>
      </w:r>
    </w:p>
    <w:p>
      <w:r>
        <w:rPr>
          <w:b/>
        </w:rPr>
        <w:t xml:space="preserve">Quelle: </w:t>
      </w:r>
      <w:r>
        <w:t>https://mcp.opencaselaw.ch/entscheid/sg_publikationen_B 2015_308</w:t>
      </w:r>
    </w:p>
    <w:p>
      <w:r>
        <w:t>FR: SG_VERWALTUNGSGERICHT B 2015/308 du 26 octobre 2017</w:t>
      </w:r>
    </w:p>
    <w:p>
      <w:r>
        <w:t>IT: SG_VERWALTUNGSGERICHT B 2015/308 del 26 ottobre 2017</w:t>
      </w:r>
    </w:p>
    <w:p>
      <w:pPr>
        <w:pStyle w:val="Heading2"/>
      </w:pPr>
      <w:r>
        <w:t>Regeste</w:t>
      </w:r>
    </w:p>
    <w:p>
      <w:r>
        <w:t>Bau- und Planungsrecht, Überbauungsplan, Art. 22 BauG (sGS 731.1).Voraussetzungen, unter denen mittels Überbauungsplan von den Regelbauvorschriften (Geschosszahl, Gebäudehöhe) abgewichen werden darf und eine Mehrausnützung zu gewähren ist. Im konkreten Fall stellte sich zudem die Frage, ob der Planerlass zu einer unzulässigen Gefahrenumlagerung (Hochwasser) auf die Nachbargrundstücke führe und ob durch das Grundstück ein öffentliches Gewässer fliesse. Beide Fragen hat das Gericht verneint (Verwaltungsgericht, B 2015/308).</w:t>
      </w:r>
    </w:p>
    <w:p>
      <w:pPr>
        <w:pStyle w:val="Heading2"/>
      </w:pPr>
      <w:r>
        <w:t>Erwägungen</w:t>
      </w:r>
    </w:p>
    <w:p>
      <w:r>
        <w:rPr>
          <w:b/>
        </w:rPr>
        <w:t>E. 9</w:t>
      </w:r>
    </w:p>
    <w:p>
      <w:r>
        <w:t>Zusammenfassend ergibt sich, dass die Beschwerde vollumfänglich abzuweisen ist. Bei diesem Verfahrensausgang sind die amtlichen Kosten des Beschwerdeverfahrens unter solidarischer Haftung den Beschwerdeführern aufzuerlegen (Art. 95 Abs. 1 und 96bis VRP). Eine Entscheidgebühr in der Höhe von Fr. 3'500.-- erscheint angemessen (Art. 7 Ziff. 222 der Gerichtskostenverordnung, sGS 941.12). Der Kostenvorschuss von Fr. 3'500.-- wird verrechnet. Die Beschwerdeführer haben die private Beschwerdegegnerin ausseramtlich angemessen zu entschädigen (Art. 98 Abs. 1 in Verbindung mit Art. 98bis VRP), und zwar unter solidarischer Haftung (Art. 98ter VRP in Verbindung mit Art. 106 Abs. 3 der Schweizerischen Zivilprozessordnung, SR 272). Die Entschädigung wird für das Beschwerdeverfahren ermessensweise auf Fr. 2‘500.-- zuzüglich vier Prozent pauschale Barauslagen und Mehrwertsteuer festgesetzt (Art. 6, Art. 19, Art. 22 Ingress und lit. b, Art. 28bis Abs. 1 und Art. 29 der Honorarordnung für Rechtsanwälte und Rechtsagenten, sGS 963.75, HonO). Das Begehren der Beschwerdeführer um Ersatz der ausseramtlichen Kosten wird – dem Verfahrensausgang entsprechend – abgewiesen (Art. 98bis VRP). Demnach erkennt das Verwaltungsgericht zu Recht: 1. Die Beschwerde wird abgewiesen. 2. Die amtlichen Kosten des Beschwerdeverfahrens von Fr. 3'500.-- bezahlen die Beschwerdeführer unter solidarischer Haftung. Der in gleicher Höhe geleistete Kostenvorschuss wird verrechnet. 3. Die Beschwerdeführer haben die Beschwerdegegnerin unter solidarischer Haftung mit insgesamt Fr. 2'500.-- (zuzüglich 4% Barauslagen, zuzüglich Mehrwertsteuer) ausseramtlich zu entschädigen. Der Abteilungspräsident            Der Gerichtsschreiber Zürn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